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Исх.№ 0</w:t>
      </w:r>
      <w:r>
        <w:rPr>
          <w:sz w:val="24"/>
          <w:szCs w:val="24"/>
          <w:lang w:val="be-BY"/>
        </w:rPr>
        <w:t>1</w:t>
      </w:r>
      <w:r>
        <w:rPr>
          <w:sz w:val="24"/>
          <w:szCs w:val="24"/>
          <w:lang w:val="be-BY"/>
        </w:rPr>
        <w:t>9</w:t>
      </w:r>
      <w:r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02.09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>
      <w:pPr>
        <w:jc w:val="right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4"/>
          <w:szCs w:val="24"/>
          <w:lang w:val="be-BY"/>
        </w:rPr>
        <w:t>Руководителю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>
      <w:pPr>
        <w:rPr>
          <w:sz w:val="24"/>
          <w:szCs w:val="24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>
        <w:rPr>
          <w:rFonts w:eastAsia="Calibri"/>
          <w:sz w:val="24"/>
          <w:szCs w:val="24"/>
          <w:lang w:eastAsia="en-US"/>
        </w:rPr>
        <w:t>ООО</w:t>
      </w:r>
      <w:r>
        <w:rPr>
          <w:rFonts w:eastAsia="Calibri"/>
          <w:sz w:val="24"/>
          <w:szCs w:val="24"/>
          <w:lang w:eastAsia="en-US"/>
        </w:rPr>
        <w:t xml:space="preserve"> «</w:t>
      </w:r>
      <w:r>
        <w:rPr>
          <w:rFonts w:eastAsia="Calibri"/>
          <w:sz w:val="24"/>
          <w:szCs w:val="24"/>
          <w:lang w:eastAsia="en-US"/>
        </w:rPr>
        <w:t>Клиффорт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Групп»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(</w:t>
      </w:r>
      <w:r>
        <w:rPr>
          <w:rFonts w:eastAsia="Calibri"/>
          <w:sz w:val="24"/>
          <w:szCs w:val="24"/>
          <w:lang w:eastAsia="en-US"/>
        </w:rPr>
        <w:t>далее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>) н</w:t>
      </w:r>
      <w:r>
        <w:rPr>
          <w:sz w:val="24"/>
          <w:szCs w:val="24"/>
        </w:rPr>
        <w:t xml:space="preserve">а ваш устный запрос по взаимодействию расчётов с участниками  платформы </w:t>
      </w:r>
      <w:r>
        <w:rPr>
          <w:b/>
          <w:bCs/>
          <w:sz w:val="24"/>
          <w:szCs w:val="24"/>
        </w:rPr>
        <w:t>KLIFFORT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поясняе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 нижеследующее:</w:t>
      </w:r>
    </w:p>
    <w:p>
      <w:pPr>
        <w:rPr>
          <w:rFonts w:ascii="Arial" w:hAnsi="Arial" w:cs="Arial"/>
          <w:sz w:val="27"/>
          <w:szCs w:val="27"/>
        </w:rPr>
      </w:pPr>
      <w:r>
        <w:rPr>
          <w:sz w:val="24"/>
          <w:szCs w:val="24"/>
        </w:rPr>
        <w:t xml:space="preserve">         На основании нижеследующих пунктов </w:t>
      </w:r>
      <w:r>
        <w:rPr>
          <w:b/>
          <w:bCs/>
          <w:sz w:val="24"/>
          <w:szCs w:val="24"/>
        </w:rPr>
        <w:t>Договор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о взаимодействии с использованием платформы KLIFFORT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 Клиентом</w:t>
      </w:r>
      <w:r>
        <w:rPr>
          <w:sz w:val="24"/>
          <w:szCs w:val="24"/>
        </w:rPr>
        <w:t xml:space="preserve">   закреплена р</w:t>
      </w:r>
      <w:r>
        <w:rPr>
          <w:sz w:val="24"/>
          <w:szCs w:val="24"/>
        </w:rPr>
        <w:t xml:space="preserve">оль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в </w:t>
      </w:r>
      <w:r>
        <w:rPr>
          <w:sz w:val="24"/>
          <w:szCs w:val="24"/>
        </w:rPr>
        <w:t>расчетах</w:t>
      </w:r>
      <w:r>
        <w:rPr>
          <w:sz w:val="24"/>
          <w:szCs w:val="24"/>
        </w:rPr>
        <w:t>:</w:t>
      </w:r>
      <w:r>
        <w:rPr>
          <w:sz w:val="24"/>
          <w:szCs w:val="24"/>
        </w:rPr>
        <w:br/>
        <w:t>5.3.1</w:t>
      </w:r>
      <w:r>
        <w:rPr>
          <w:sz w:val="24"/>
          <w:szCs w:val="24"/>
        </w:rPr>
        <w:t xml:space="preserve">.               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выступает платежным и информационным посредником, действующим в интересах Клиента и (или) иных участников расчетов</w:t>
      </w:r>
      <w:r>
        <w:rPr>
          <w:sz w:val="24"/>
          <w:szCs w:val="24"/>
        </w:rPr>
        <w:t xml:space="preserve"> (в данной ситуации Поставщика продукции и Перевозчика</w:t>
      </w:r>
      <w:r>
        <w:rPr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5.3.2</w:t>
      </w:r>
      <w:r>
        <w:rPr>
          <w:sz w:val="24"/>
          <w:szCs w:val="24"/>
        </w:rPr>
        <w:t xml:space="preserve">.                Денежные средства, уплаченные Клиентом, распределяются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следующим </w:t>
      </w:r>
      <w:r>
        <w:rPr>
          <w:sz w:val="24"/>
          <w:szCs w:val="24"/>
        </w:rPr>
        <w:t>образом:</w:t>
      </w:r>
      <w:r>
        <w:rPr>
          <w:sz w:val="24"/>
          <w:szCs w:val="24"/>
        </w:rPr>
        <w:br/>
        <w:t>5.3.2.1</w:t>
      </w:r>
      <w:r>
        <w:rPr>
          <w:sz w:val="24"/>
          <w:szCs w:val="24"/>
        </w:rPr>
        <w:t xml:space="preserve">.                    Поставщику – в части оплаты </w:t>
      </w:r>
      <w:r>
        <w:rPr>
          <w:sz w:val="24"/>
          <w:szCs w:val="24"/>
        </w:rPr>
        <w:t>Продукции;</w:t>
      </w:r>
      <w:r>
        <w:rPr>
          <w:sz w:val="24"/>
          <w:szCs w:val="24"/>
        </w:rPr>
        <w:br/>
        <w:t>5.3.2.2</w:t>
      </w:r>
      <w:r>
        <w:rPr>
          <w:sz w:val="24"/>
          <w:szCs w:val="24"/>
        </w:rPr>
        <w:t xml:space="preserve">.                    Перевозчику – в части оплаты услуг по перевозке (если </w:t>
      </w:r>
      <w:r>
        <w:rPr>
          <w:sz w:val="24"/>
          <w:szCs w:val="24"/>
        </w:rPr>
        <w:t>применимо</w:t>
      </w:r>
      <w:r>
        <w:rPr>
          <w:sz w:val="24"/>
          <w:szCs w:val="24"/>
        </w:rPr>
        <w:t>,т.е</w:t>
      </w:r>
      <w:r>
        <w:rPr>
          <w:sz w:val="24"/>
          <w:szCs w:val="24"/>
        </w:rPr>
        <w:t xml:space="preserve"> если Клиент заказывает перевозку</w:t>
      </w:r>
      <w:r>
        <w:rPr>
          <w:sz w:val="24"/>
          <w:szCs w:val="24"/>
        </w:rPr>
        <w:t>);</w:t>
      </w:r>
      <w:r>
        <w:rPr>
          <w:sz w:val="24"/>
          <w:szCs w:val="24"/>
        </w:rPr>
        <w:br/>
        <w:t xml:space="preserve">5.3.2.3.                   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– в части вознаграждения за оказанные услуги.</w:t>
      </w:r>
      <w:r>
        <w:rPr>
          <w:sz w:val="24"/>
          <w:szCs w:val="24"/>
        </w:rPr>
        <w:br/>
        <w:t xml:space="preserve">5.3.3.               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не является стороной договора купли-продажи Продукции и договора перевозки и не несет обязательств по их исполнению, за исключением случаев, прямо предусмотренных Договором.</w:t>
      </w:r>
      <w:r>
        <w:rPr>
          <w:rFonts w:ascii="Arial" w:hAnsi="Arial" w:cs="Arial"/>
          <w:sz w:val="27"/>
          <w:szCs w:val="27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На основании</w:t>
      </w:r>
      <w:r>
        <w:rPr>
          <w:sz w:val="24"/>
          <w:szCs w:val="24"/>
        </w:rPr>
        <w:t xml:space="preserve"> вышеизложенного следует, что </w:t>
      </w:r>
      <w:r>
        <w:rPr>
          <w:sz w:val="24"/>
          <w:szCs w:val="24"/>
        </w:rPr>
        <w:t>владелец платформы выступает платежным и информационным посредником, д</w:t>
      </w:r>
      <w:r>
        <w:rPr>
          <w:sz w:val="24"/>
          <w:szCs w:val="24"/>
        </w:rPr>
        <w:t>ействующим в интересах Клиента, сог</w:t>
      </w:r>
      <w:r>
        <w:rPr>
          <w:sz w:val="24"/>
          <w:szCs w:val="24"/>
        </w:rPr>
        <w:t xml:space="preserve">ласно его </w:t>
      </w:r>
      <w:r>
        <w:rPr>
          <w:sz w:val="24"/>
          <w:szCs w:val="24"/>
        </w:rPr>
        <w:t>ЗАКАЗА</w:t>
      </w:r>
      <w:r>
        <w:rPr>
          <w:sz w:val="24"/>
          <w:szCs w:val="24"/>
        </w:rPr>
        <w:t xml:space="preserve"> в которой отображается раздельно стоимость товара, стоимость перевозки, стоимость комиссии платформы и иных участников расчетов (Поставщика </w:t>
      </w:r>
      <w:r>
        <w:rPr>
          <w:sz w:val="24"/>
          <w:szCs w:val="24"/>
        </w:rPr>
        <w:t>товара,</w:t>
      </w:r>
      <w:r>
        <w:rPr>
          <w:sz w:val="24"/>
          <w:szCs w:val="24"/>
        </w:rPr>
        <w:t xml:space="preserve"> Перевозчика</w:t>
      </w:r>
      <w:r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Платформа действует строго по </w:t>
      </w:r>
      <w:r>
        <w:rPr>
          <w:sz w:val="24"/>
          <w:szCs w:val="24"/>
        </w:rPr>
        <w:t>ЗАКАЗУ</w:t>
      </w:r>
      <w:r>
        <w:rPr>
          <w:sz w:val="24"/>
          <w:szCs w:val="24"/>
        </w:rPr>
        <w:t xml:space="preserve"> Клиента (в его интересах), а в самом </w:t>
      </w:r>
      <w:r>
        <w:rPr>
          <w:sz w:val="24"/>
          <w:szCs w:val="24"/>
        </w:rPr>
        <w:t xml:space="preserve">ЗАКАЗЕ </w:t>
      </w:r>
      <w:r>
        <w:rPr>
          <w:sz w:val="24"/>
          <w:szCs w:val="24"/>
        </w:rPr>
        <w:t xml:space="preserve">изначально разделены все три суммы, </w:t>
      </w:r>
      <w:r>
        <w:rPr>
          <w:sz w:val="24"/>
          <w:szCs w:val="24"/>
        </w:rPr>
        <w:t xml:space="preserve">что </w:t>
      </w:r>
      <w:r>
        <w:rPr>
          <w:sz w:val="24"/>
          <w:szCs w:val="24"/>
        </w:rPr>
        <w:t>юридически  закрепляет</w:t>
      </w:r>
      <w:r>
        <w:rPr>
          <w:sz w:val="24"/>
          <w:szCs w:val="24"/>
        </w:rPr>
        <w:t xml:space="preserve"> роль Платформы как Агента Клиента (Покупателя)</w:t>
      </w:r>
      <w:r>
        <w:rPr>
          <w:sz w:val="24"/>
          <w:szCs w:val="24"/>
        </w:rPr>
        <w:t>, а для Поставщика и Перевозчика является каналом привлечения Клиентов.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Платформа не перепродает товар и не оказывает услуги доставки сама — она лишь выполняет поручение Клиента по поиску, координации и расчету с конечными исполнителями.</w:t>
      </w:r>
    </w:p>
    <w:p>
      <w:pPr>
        <w:pStyle w:val="NoSpacing"/>
        <w:rPr>
          <w:sz w:val="24"/>
          <w:szCs w:val="24"/>
        </w:rPr>
      </w:pPr>
    </w:p>
    <w:p>
      <w:pPr>
        <w:pStyle w:val="NoSpacing"/>
        <w:rPr>
          <w:b/>
          <w:sz w:val="26"/>
          <w:szCs w:val="26"/>
        </w:rPr>
      </w:pPr>
      <w:r>
        <w:rPr>
          <w:b/>
          <w:sz w:val="26"/>
          <w:szCs w:val="26"/>
        </w:rPr>
        <w:t>Пошаговая структура документооборота в данном случае следующая:</w:t>
      </w:r>
    </w:p>
    <w:p>
      <w:pPr>
        <w:pStyle w:val="NoSpacing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Документы от Клиента</w:t>
      </w:r>
    </w:p>
    <w:p>
      <w:pPr>
        <w:numPr>
          <w:ilvl w:val="0"/>
          <w:numId w:val="2"/>
        </w:numPr>
        <w:ind w:left="0"/>
        <w:rPr>
          <w:sz w:val="24"/>
          <w:szCs w:val="24"/>
        </w:rPr>
      </w:pPr>
      <w:r>
        <w:rPr>
          <w:sz w:val="24"/>
          <w:szCs w:val="24"/>
        </w:rPr>
        <w:t xml:space="preserve">Публичная оферта Платформы </w:t>
      </w:r>
      <w:r>
        <w:rPr>
          <w:sz w:val="24"/>
          <w:szCs w:val="24"/>
        </w:rPr>
        <w:t>-</w:t>
      </w:r>
      <w:r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о взаимодействии с использованием платформы KLIFFORT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 Клиентом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(Агентский договор): Клиент акцептует её (принимает условия) в момент оформления </w:t>
      </w:r>
      <w:r>
        <w:rPr>
          <w:sz w:val="24"/>
          <w:szCs w:val="24"/>
        </w:rPr>
        <w:t>ЗАКАЗА</w:t>
      </w:r>
      <w:r>
        <w:rPr>
          <w:sz w:val="24"/>
          <w:szCs w:val="24"/>
        </w:rPr>
        <w:t>. В ней зафиксировано, что Платформа обязуется за вознаграждение совершить сделку от имени или за счет Клиента.</w:t>
      </w:r>
    </w:p>
    <w:p>
      <w:pPr>
        <w:numPr>
          <w:ilvl w:val="0"/>
          <w:numId w:val="2"/>
        </w:numPr>
        <w:ind w:left="0"/>
        <w:rPr>
          <w:sz w:val="24"/>
          <w:szCs w:val="24"/>
        </w:rPr>
      </w:pPr>
      <w:r>
        <w:rPr>
          <w:sz w:val="24"/>
          <w:szCs w:val="24"/>
        </w:rPr>
        <w:t>Заявка Клиента (</w:t>
      </w:r>
      <w:r>
        <w:rPr>
          <w:sz w:val="24"/>
          <w:szCs w:val="24"/>
        </w:rPr>
        <w:t>ЗАКАЗ)</w:t>
      </w:r>
      <w:r>
        <w:rPr>
          <w:sz w:val="24"/>
          <w:szCs w:val="24"/>
        </w:rPr>
        <w:t xml:space="preserve"> Формируется в интерфейсе. Это первичный документ-поручение. В нем зафиксированы три позиции:</w:t>
      </w:r>
    </w:p>
    <w:p>
      <w:pPr>
        <w:numPr>
          <w:ilvl w:val="1"/>
          <w:numId w:val="2"/>
        </w:numPr>
        <w:ind w:left="0"/>
        <w:rPr>
          <w:sz w:val="24"/>
          <w:szCs w:val="24"/>
        </w:rPr>
      </w:pPr>
      <w:r>
        <w:rPr>
          <w:sz w:val="24"/>
          <w:szCs w:val="24"/>
        </w:rPr>
        <w:t>Стоимость товара (уходит Поставщику)</w:t>
      </w:r>
    </w:p>
    <w:p>
      <w:pPr>
        <w:numPr>
          <w:ilvl w:val="1"/>
          <w:numId w:val="2"/>
        </w:numPr>
        <w:ind w:left="0"/>
        <w:rPr>
          <w:sz w:val="24"/>
          <w:szCs w:val="24"/>
        </w:rPr>
      </w:pPr>
      <w:r>
        <w:rPr>
          <w:sz w:val="24"/>
          <w:szCs w:val="24"/>
        </w:rPr>
        <w:t>Стоимость перевозки (уходит Перевозчику)</w:t>
      </w:r>
    </w:p>
    <w:p>
      <w:pPr>
        <w:numPr>
          <w:ilvl w:val="1"/>
          <w:numId w:val="2"/>
        </w:numPr>
        <w:ind w:left="0"/>
        <w:rPr>
          <w:sz w:val="24"/>
          <w:szCs w:val="24"/>
        </w:rPr>
      </w:pPr>
      <w:r>
        <w:rPr>
          <w:sz w:val="24"/>
          <w:szCs w:val="24"/>
        </w:rPr>
        <w:t>Комиссия (сервисный сбор) Платформы</w:t>
      </w:r>
    </w:p>
    <w:p>
      <w:pPr>
        <w:pStyle w:val="NoSpacing"/>
        <w:rPr>
          <w:b/>
          <w:sz w:val="24"/>
          <w:szCs w:val="24"/>
        </w:rPr>
      </w:pPr>
    </w:p>
    <w:p>
      <w:pPr>
        <w:pStyle w:val="NoSpacing"/>
        <w:rPr>
          <w:b/>
          <w:i/>
          <w:sz w:val="24"/>
          <w:szCs w:val="24"/>
        </w:rPr>
      </w:pPr>
    </w:p>
    <w:p>
      <w:pPr>
        <w:pStyle w:val="NoSpacing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Этап оплаты и Счета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Так как Платформа принимает всю сумму, </w:t>
      </w:r>
      <w:r>
        <w:rPr>
          <w:sz w:val="24"/>
          <w:szCs w:val="24"/>
        </w:rPr>
        <w:t>Счёт</w:t>
      </w:r>
      <w:r>
        <w:rPr>
          <w:sz w:val="24"/>
          <w:szCs w:val="24"/>
        </w:rPr>
        <w:t xml:space="preserve"> для Клиента (</w:t>
      </w:r>
      <w:r>
        <w:rPr>
          <w:sz w:val="24"/>
          <w:szCs w:val="24"/>
        </w:rPr>
        <w:t>Ф</w:t>
      </w:r>
      <w:r>
        <w:rPr>
          <w:sz w:val="24"/>
          <w:szCs w:val="24"/>
        </w:rPr>
        <w:t>излицо</w:t>
      </w:r>
      <w:r>
        <w:rPr>
          <w:sz w:val="24"/>
          <w:szCs w:val="24"/>
        </w:rPr>
        <w:t>,Юрлицо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отражает </w:t>
      </w:r>
      <w:r>
        <w:rPr>
          <w:sz w:val="24"/>
          <w:szCs w:val="24"/>
        </w:rPr>
        <w:t xml:space="preserve">строго  структуру </w:t>
      </w:r>
      <w:r>
        <w:rPr>
          <w:sz w:val="24"/>
          <w:szCs w:val="24"/>
        </w:rPr>
        <w:t>ЗАКАЗА</w:t>
      </w:r>
      <w:r>
        <w:rPr>
          <w:sz w:val="24"/>
          <w:szCs w:val="24"/>
        </w:rPr>
        <w:t xml:space="preserve">. </w:t>
      </w:r>
    </w:p>
    <w:p>
      <w:pPr>
        <w:pStyle w:val="NoSpacing"/>
        <w:rPr>
          <w:sz w:val="24"/>
          <w:szCs w:val="24"/>
        </w:rPr>
      </w:pPr>
    </w:p>
    <w:p>
      <w:pPr>
        <w:pStyle w:val="NoSpacing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Закрывающие документы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После того как Перевозчик доставил товар Клиенту, сделка считается исполненной. Документооборот разделяется на три направления:</w:t>
      </w:r>
    </w:p>
    <w:p>
      <w:pPr>
        <w:pStyle w:val="NoSpacing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С Покупателем (Клиентом)</w:t>
      </w:r>
    </w:p>
    <w:p>
      <w:pPr>
        <w:pStyle w:val="NoSpacing"/>
        <w:rPr>
          <w:b/>
          <w:bCs/>
          <w:i/>
          <w:sz w:val="24"/>
          <w:szCs w:val="24"/>
        </w:rPr>
      </w:pPr>
      <w:r>
        <w:rPr>
          <w:sz w:val="24"/>
          <w:szCs w:val="24"/>
        </w:rPr>
        <w:t xml:space="preserve">Публичная оферта Платформы </w:t>
      </w:r>
      <w:r>
        <w:rPr>
          <w:sz w:val="24"/>
          <w:szCs w:val="24"/>
        </w:rPr>
        <w:t>-</w:t>
      </w:r>
      <w:r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о взаимодействии с использованием платформы KLIFFORT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 Клиентом</w:t>
      </w:r>
    </w:p>
    <w:p>
      <w:pPr>
        <w:numPr>
          <w:ilvl w:val="0"/>
          <w:numId w:val="3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Для физлиц:</w:t>
      </w:r>
      <w:r>
        <w:rPr>
          <w:sz w:val="24"/>
          <w:szCs w:val="24"/>
        </w:rPr>
        <w:t xml:space="preserve"> Закрывающим документом является ранее выданный </w:t>
      </w:r>
      <w:r>
        <w:rPr>
          <w:sz w:val="24"/>
          <w:szCs w:val="24"/>
        </w:rPr>
        <w:t>счёт</w:t>
      </w:r>
      <w:r>
        <w:rPr>
          <w:sz w:val="24"/>
          <w:szCs w:val="24"/>
        </w:rPr>
        <w:t>. Дополнительные акты не требуются.</w:t>
      </w:r>
    </w:p>
    <w:p>
      <w:pPr>
        <w:numPr>
          <w:ilvl w:val="0"/>
          <w:numId w:val="3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Для </w:t>
      </w:r>
      <w:r>
        <w:rPr>
          <w:b/>
          <w:bCs/>
          <w:sz w:val="24"/>
          <w:szCs w:val="24"/>
        </w:rPr>
        <w:t>юрлиц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Платформа предоставляет Клиенту:</w:t>
      </w:r>
    </w:p>
    <w:p>
      <w:pPr>
        <w:numPr>
          <w:ilvl w:val="1"/>
          <w:numId w:val="3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Отчет агента:</w:t>
      </w:r>
      <w:r>
        <w:rPr>
          <w:sz w:val="24"/>
          <w:szCs w:val="24"/>
        </w:rPr>
        <w:t xml:space="preserve"> д</w:t>
      </w:r>
      <w:r>
        <w:rPr>
          <w:sz w:val="24"/>
          <w:szCs w:val="24"/>
        </w:rPr>
        <w:t xml:space="preserve">окумент, где Платформа </w:t>
      </w:r>
      <w:r>
        <w:rPr>
          <w:sz w:val="24"/>
          <w:szCs w:val="24"/>
        </w:rPr>
        <w:t>для подтверждения выполненного поручения указывает информацию о заявках, поставщиках товара, нанятых перевозчиках и стоимости товара и услуг за перевозку.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z w:val="24"/>
          <w:szCs w:val="24"/>
        </w:rPr>
        <w:t xml:space="preserve">  этому</w:t>
      </w:r>
      <w:r>
        <w:rPr>
          <w:sz w:val="24"/>
          <w:szCs w:val="24"/>
        </w:rPr>
        <w:t xml:space="preserve"> ежемесячному</w:t>
      </w:r>
      <w:r>
        <w:rPr>
          <w:sz w:val="24"/>
          <w:szCs w:val="24"/>
        </w:rPr>
        <w:t xml:space="preserve"> отчету прикладываются копии документов от Поставщика</w:t>
      </w:r>
      <w:r>
        <w:rPr>
          <w:sz w:val="24"/>
          <w:szCs w:val="24"/>
        </w:rPr>
        <w:t xml:space="preserve"> (ТТН)</w:t>
      </w:r>
      <w:r>
        <w:rPr>
          <w:sz w:val="24"/>
          <w:szCs w:val="24"/>
        </w:rPr>
        <w:t xml:space="preserve"> и Перевозчика</w:t>
      </w:r>
      <w:r>
        <w:rPr>
          <w:sz w:val="24"/>
          <w:szCs w:val="24"/>
        </w:rPr>
        <w:t xml:space="preserve"> (АКТ)</w:t>
      </w:r>
      <w:r>
        <w:rPr>
          <w:sz w:val="24"/>
          <w:szCs w:val="24"/>
        </w:rPr>
        <w:t>.</w:t>
      </w:r>
    </w:p>
    <w:p>
      <w:pPr>
        <w:numPr>
          <w:ilvl w:val="1"/>
          <w:numId w:val="3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Акт на вознаграждение:</w:t>
      </w:r>
      <w:r>
        <w:rPr>
          <w:sz w:val="24"/>
          <w:szCs w:val="24"/>
        </w:rPr>
        <w:t xml:space="preserve"> Выставляется только на сумму комиссии Платформы.</w:t>
      </w:r>
    </w:p>
    <w:p>
      <w:pPr>
        <w:rPr>
          <w:b/>
          <w:bCs/>
          <w:sz w:val="24"/>
          <w:szCs w:val="24"/>
        </w:rPr>
      </w:pPr>
    </w:p>
    <w:p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С Поставщиком товара</w:t>
      </w:r>
    </w:p>
    <w:p>
      <w:pPr>
        <w:rPr>
          <w:b/>
          <w:bCs/>
          <w:i/>
          <w:sz w:val="24"/>
          <w:szCs w:val="24"/>
        </w:rPr>
      </w:pPr>
      <w:r>
        <w:rPr>
          <w:sz w:val="24"/>
          <w:szCs w:val="24"/>
        </w:rPr>
        <w:t xml:space="preserve">Публичная оферта Платформы </w:t>
      </w:r>
      <w:r>
        <w:rPr>
          <w:sz w:val="24"/>
          <w:szCs w:val="24"/>
        </w:rPr>
        <w:t>-</w:t>
      </w:r>
      <w:r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о взаимодействии с использованием платформы KLIFFORT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Поставщиком</w:t>
      </w:r>
    </w:p>
    <w:p>
      <w:pPr>
        <w:numPr>
          <w:ilvl w:val="0"/>
          <w:numId w:val="4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Товарн</w:t>
      </w:r>
      <w:r>
        <w:rPr>
          <w:b/>
          <w:bCs/>
          <w:sz w:val="24"/>
          <w:szCs w:val="24"/>
        </w:rPr>
        <w:t>о-транспортная</w:t>
      </w:r>
      <w:r>
        <w:rPr>
          <w:b/>
          <w:bCs/>
          <w:sz w:val="24"/>
          <w:szCs w:val="24"/>
        </w:rPr>
        <w:t xml:space="preserve"> накладная:</w:t>
      </w:r>
      <w:r>
        <w:rPr>
          <w:sz w:val="24"/>
          <w:szCs w:val="24"/>
        </w:rPr>
        <w:t xml:space="preserve"> Оформляется напрямую </w:t>
      </w:r>
      <w:r>
        <w:rPr>
          <w:b/>
          <w:bCs/>
          <w:sz w:val="24"/>
          <w:szCs w:val="24"/>
        </w:rPr>
        <w:t>от Поставщика на имя Клиента</w:t>
      </w:r>
      <w:r>
        <w:rPr>
          <w:sz w:val="24"/>
          <w:szCs w:val="24"/>
        </w:rPr>
        <w:t xml:space="preserve">. Платформа в </w:t>
      </w:r>
      <w:r>
        <w:rPr>
          <w:sz w:val="24"/>
          <w:szCs w:val="24"/>
        </w:rPr>
        <w:t>ТТН не фигурирует как П</w:t>
      </w:r>
      <w:r>
        <w:rPr>
          <w:sz w:val="24"/>
          <w:szCs w:val="24"/>
        </w:rPr>
        <w:t>окупатель</w:t>
      </w:r>
      <w:r>
        <w:rPr>
          <w:sz w:val="24"/>
          <w:szCs w:val="24"/>
        </w:rPr>
        <w:t xml:space="preserve"> (Клиент) или П</w:t>
      </w:r>
      <w:r>
        <w:rPr>
          <w:sz w:val="24"/>
          <w:szCs w:val="24"/>
        </w:rPr>
        <w:t>родавец (она лишь</w:t>
      </w:r>
      <w:r>
        <w:rPr>
          <w:sz w:val="24"/>
          <w:szCs w:val="24"/>
        </w:rPr>
        <w:t xml:space="preserve"> передать этот документ Клиенту</w:t>
      </w:r>
      <w:r>
        <w:rPr>
          <w:sz w:val="24"/>
          <w:szCs w:val="24"/>
        </w:rPr>
        <w:t>).</w:t>
      </w:r>
    </w:p>
    <w:p>
      <w:pPr>
        <w:numPr>
          <w:ilvl w:val="0"/>
          <w:numId w:val="4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Акт сверки / Реестр:</w:t>
      </w:r>
      <w:r>
        <w:rPr>
          <w:sz w:val="24"/>
          <w:szCs w:val="24"/>
        </w:rPr>
        <w:t xml:space="preserve"> Платформа отправляет Поставщику реестр оплаченных товаров, подтверждая перевод транзитных денег</w:t>
      </w:r>
      <w:r>
        <w:rPr>
          <w:sz w:val="24"/>
          <w:szCs w:val="24"/>
        </w:rPr>
        <w:t xml:space="preserve"> ежемесячно</w:t>
      </w:r>
      <w:r>
        <w:rPr>
          <w:sz w:val="24"/>
          <w:szCs w:val="24"/>
        </w:rPr>
        <w:t>.</w:t>
      </w:r>
    </w:p>
    <w:p>
      <w:pPr>
        <w:rPr>
          <w:b/>
          <w:bCs/>
          <w:sz w:val="24"/>
          <w:szCs w:val="24"/>
        </w:rPr>
      </w:pP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 Перевозчиком</w:t>
      </w:r>
    </w:p>
    <w:p>
      <w:pPr>
        <w:numPr>
          <w:ilvl w:val="0"/>
          <w:numId w:val="5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Т</w:t>
      </w:r>
      <w:r>
        <w:rPr>
          <w:b/>
          <w:bCs/>
          <w:sz w:val="24"/>
          <w:szCs w:val="24"/>
        </w:rPr>
        <w:t>оварно-т</w:t>
      </w:r>
      <w:r>
        <w:rPr>
          <w:b/>
          <w:bCs/>
          <w:sz w:val="24"/>
          <w:szCs w:val="24"/>
        </w:rPr>
        <w:t>ранспортная накладная / Акт:</w:t>
      </w:r>
      <w:r>
        <w:rPr>
          <w:sz w:val="24"/>
          <w:szCs w:val="24"/>
        </w:rPr>
        <w:t xml:space="preserve"> Оформляется </w:t>
      </w:r>
      <w:r>
        <w:rPr>
          <w:b/>
          <w:bCs/>
          <w:sz w:val="24"/>
          <w:szCs w:val="24"/>
        </w:rPr>
        <w:t>Перевозчиком</w:t>
      </w:r>
      <w:r>
        <w:rPr>
          <w:sz w:val="24"/>
          <w:szCs w:val="24"/>
        </w:rPr>
        <w:t xml:space="preserve">. Заказчиком услуги в документах </w:t>
      </w:r>
      <w:r>
        <w:rPr>
          <w:sz w:val="24"/>
          <w:szCs w:val="24"/>
        </w:rPr>
        <w:t>выступа</w:t>
      </w:r>
      <w:r>
        <w:rPr>
          <w:sz w:val="24"/>
          <w:szCs w:val="24"/>
        </w:rPr>
        <w:t>ет</w:t>
      </w:r>
      <w:r>
        <w:rPr>
          <w:sz w:val="24"/>
          <w:szCs w:val="24"/>
        </w:rPr>
        <w:t xml:space="preserve">  Клиент</w:t>
      </w:r>
      <w:r>
        <w:rPr>
          <w:sz w:val="24"/>
          <w:szCs w:val="24"/>
        </w:rPr>
        <w:t>.</w:t>
      </w:r>
    </w:p>
    <w:p>
      <w:pPr>
        <w:numPr>
          <w:ilvl w:val="0"/>
          <w:numId w:val="5"/>
        </w:num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Реестр выполненных доставок</w:t>
      </w:r>
      <w:r>
        <w:rPr>
          <w:b/>
          <w:bCs/>
          <w:sz w:val="24"/>
          <w:szCs w:val="24"/>
        </w:rPr>
        <w:t>/Акт сверки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Для перечисления Перевозчику его части денег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 счета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 составляется ежемесячно</w:t>
      </w:r>
      <w:r>
        <w:rPr>
          <w:sz w:val="24"/>
          <w:szCs w:val="24"/>
        </w:rPr>
        <w:t>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На основании нижеследующих пунктов </w:t>
      </w:r>
      <w:r>
        <w:rPr>
          <w:b/>
          <w:bCs/>
          <w:sz w:val="24"/>
          <w:szCs w:val="24"/>
        </w:rPr>
        <w:t>Договор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о взаимодействии с использованием платформы KLIFFORT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с </w:t>
      </w:r>
      <w:r>
        <w:rPr>
          <w:b/>
          <w:bCs/>
          <w:sz w:val="24"/>
          <w:szCs w:val="24"/>
        </w:rPr>
        <w:t>Перевозчиком в п.2 Порядок заключения договора</w:t>
      </w:r>
      <w:r>
        <w:rPr>
          <w:sz w:val="24"/>
          <w:szCs w:val="24"/>
        </w:rPr>
        <w:t xml:space="preserve">   закреплено:</w:t>
      </w:r>
    </w:p>
    <w:p>
      <w:pPr>
        <w:pStyle w:val="ListParagraph"/>
        <w:numPr>
          <w:ilvl w:val="0"/>
          <w:numId w:val="5"/>
        </w:numPr>
        <w:tabs>
          <w:tab w:val="left" w:pos="1474"/>
        </w:tabs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Клиффорт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>
      <w:pPr>
        <w:pStyle w:val="ListParagraph"/>
        <w:numPr>
          <w:ilvl w:val="0"/>
          <w:numId w:val="5"/>
        </w:num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является стороной договора перевозки, заключаемого между Клиентом и Перевозчиком; </w:t>
      </w:r>
    </w:p>
    <w:p>
      <w:pPr>
        <w:pStyle w:val="ListParagraph"/>
        <w:numPr>
          <w:ilvl w:val="0"/>
          <w:numId w:val="5"/>
        </w:num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приобретает статус перевозчика, экспедитора, грузоотправителя или грузополучателя; </w:t>
      </w:r>
    </w:p>
    <w:p>
      <w:pPr>
        <w:pStyle w:val="ListParagraph"/>
        <w:numPr>
          <w:ilvl w:val="0"/>
          <w:numId w:val="5"/>
        </w:num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-не несет обязательств по исполнению договора перевозки, за исключением случаев, прямо предусмотренных настоящим Договором. </w:t>
      </w:r>
    </w:p>
    <w:p>
      <w:pPr>
        <w:pStyle w:val="ListParagraph"/>
        <w:numPr>
          <w:ilvl w:val="0"/>
          <w:numId w:val="5"/>
        </w:numPr>
        <w:tabs>
          <w:tab w:val="left" w:pos="1474"/>
        </w:tabs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Клиффорт</w:t>
      </w:r>
      <w:r>
        <w:rPr>
          <w:rFonts w:ascii="Times New Roman" w:hAnsi="Times New Roman" w:cs="Times New Roman"/>
          <w:sz w:val="24"/>
          <w:szCs w:val="24"/>
        </w:rPr>
        <w:t xml:space="preserve"> оказывает Перевозчику услуги по предоставлению доступа к Платформе, информационному и технологическому сопровождению, а также обеспечивает организацию взаимодействия Перевозчика с Клиентами и Поставщиками.</w:t>
      </w:r>
    </w:p>
    <w:p>
      <w:pPr>
        <w:pStyle w:val="NoSpacing"/>
      </w:pP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Деньги за товар и перевозку приходят на расчетный счет </w:t>
      </w:r>
      <w:r>
        <w:rPr>
          <w:sz w:val="24"/>
          <w:szCs w:val="24"/>
        </w:rPr>
        <w:t>Клиффорт</w:t>
      </w:r>
      <w:r>
        <w:rPr>
          <w:sz w:val="24"/>
          <w:szCs w:val="24"/>
        </w:rPr>
        <w:t xml:space="preserve">, но </w:t>
      </w:r>
      <w:r>
        <w:rPr>
          <w:b/>
          <w:bCs/>
          <w:sz w:val="24"/>
          <w:szCs w:val="24"/>
        </w:rPr>
        <w:t>не признаются доходом</w:t>
      </w:r>
      <w:r>
        <w:rPr>
          <w:sz w:val="24"/>
          <w:szCs w:val="24"/>
        </w:rPr>
        <w:t xml:space="preserve"> (отражаются на счетах расчетов с дебиторами/кредиторами).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Перевод денег Поставщику и Перевозчику </w:t>
      </w:r>
      <w:r>
        <w:rPr>
          <w:b/>
          <w:bCs/>
          <w:sz w:val="24"/>
          <w:szCs w:val="24"/>
        </w:rPr>
        <w:t>не признается расходом</w:t>
      </w:r>
      <w:r>
        <w:rPr>
          <w:sz w:val="24"/>
          <w:szCs w:val="24"/>
        </w:rPr>
        <w:t>.</w:t>
      </w:r>
    </w:p>
    <w:p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>В доход (налогооблагаемую базу) идет только комиссия Платформы</w:t>
      </w:r>
      <w:r>
        <w:rPr>
          <w:sz w:val="24"/>
          <w:szCs w:val="24"/>
        </w:rPr>
        <w:t xml:space="preserve"> в момент выполнения </w:t>
      </w:r>
      <w:r>
        <w:rPr>
          <w:sz w:val="24"/>
          <w:szCs w:val="24"/>
        </w:rPr>
        <w:t>ЗАКАЗА</w:t>
      </w:r>
      <w:r>
        <w:rPr>
          <w:sz w:val="24"/>
          <w:szCs w:val="24"/>
        </w:rPr>
        <w:t>.</w:t>
      </w:r>
    </w:p>
    <w:p>
      <w:pPr>
        <w:jc w:val="right"/>
        <w:rPr>
          <w:sz w:val="28"/>
          <w:szCs w:val="28"/>
        </w:rPr>
      </w:pPr>
    </w:p>
    <w:p>
      <w:pPr>
        <w:jc w:val="right"/>
        <w:rPr>
          <w:sz w:val="28"/>
          <w:szCs w:val="28"/>
        </w:rPr>
      </w:pPr>
    </w:p>
    <w:p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4"/>
          <w:szCs w:val="24"/>
        </w:rPr>
        <w:t xml:space="preserve">Директор                                                                                    </w:t>
      </w:r>
      <w:r>
        <w:rPr>
          <w:sz w:val="24"/>
          <w:szCs w:val="24"/>
        </w:rPr>
        <w:t>Курченок</w:t>
      </w:r>
      <w:r>
        <w:rPr>
          <w:sz w:val="24"/>
          <w:szCs w:val="24"/>
        </w:rPr>
        <w:t xml:space="preserve"> Т.Ю.</w:t>
      </w: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Тел.:+375 29 995 14 28 </w:t>
      </w:r>
    </w:p>
    <w:p>
      <w:pPr>
        <w:jc w:val="center"/>
        <w:rPr>
          <w:sz w:val="24"/>
          <w:szCs w:val="24"/>
        </w:rPr>
      </w:pPr>
    </w:p>
    <w:sectPr>
      <w:footerReference w:type="default" r:id="rId4"/>
      <w:headerReference w:type="first" r:id="rId5"/>
      <w:footerReference w:type="first" r:id="rId6"/>
      <w:type w:val="nextPage"/>
      <w:pgSz w:w="11906" w:h="16838" w:orient="portrait"/>
      <w:pgMar w:top="426" w:right="707" w:bottom="142" w:left="993" w:header="284" w:footer="41" w:gutter="0"/>
      <w:pgNumType w:start="1"/>
      <w:cols w:num="1" w:sep="0"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Courier New">
    <w:panose1 w:val="02070309020205020404"/>
    <w:charset w:val="00"/>
    <w:family w:val="auto"/>
    <w:pitch w:val="default"/>
  </w:font>
  <w:font w:name="Symbol">
    <w:panose1 w:val="05010000000000000000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system-ui">
    <w:panose1 w:val="05040102010807070707"/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CCF2F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Web"/>
      <w:tabs>
        <w:tab w:val="left" w:pos="3284"/>
        <w:tab w:val="center" w:pos="5103"/>
      </w:tabs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8"/>
        <w:szCs w:val="28"/>
      </w:rPr>
    </w:pPr>
  </w:p>
  <w:tbl>
    <w:tblPr>
      <w:tblStyle w:val="StGen4"/>
      <w:tblW w:w="11092" w:type="dxa"/>
      <w:tblInd w:w="-601" w:type="dxa"/>
      <w:tblLayout w:type="fixed"/>
      <w:tblLook w:val="0000"/>
    </w:tblPr>
    <w:tblGrid>
      <w:gridCol w:w="4678"/>
      <w:gridCol w:w="2019"/>
      <w:gridCol w:w="4395"/>
    </w:tblGrid>
    <w:tr>
      <w:tblPrEx>
        <w:tblW w:w="11092" w:type="dxa"/>
        <w:tblInd w:w="-601" w:type="dxa"/>
        <w:tblLayout w:type="fixed"/>
        <w:tblLook w:val="0000"/>
      </w:tblPrEx>
      <w:trPr>
        <w:trHeight w:val="1140"/>
      </w:trPr>
      <w:tc>
        <w:tcPr>
          <w:tcW w:w="4678" w:type="dxa"/>
        </w:tcPr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Общество с ограниченной ответственностью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«</w:t>
          </w:r>
          <w:r>
            <w:rPr>
              <w:b/>
              <w:color w:val="000000"/>
              <w:sz w:val="32"/>
              <w:szCs w:val="32"/>
            </w:rPr>
            <w:t>Клиффорт</w:t>
          </w:r>
          <w:r>
            <w:rPr>
              <w:b/>
              <w:color w:val="000000"/>
              <w:sz w:val="32"/>
              <w:szCs w:val="32"/>
            </w:rPr>
            <w:t xml:space="preserve"> Групп</w:t>
          </w:r>
          <w:r>
            <w:rPr>
              <w:b/>
              <w:color w:val="000000"/>
              <w:sz w:val="32"/>
              <w:szCs w:val="32"/>
            </w:rPr>
            <w:t>»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</w:rPr>
            <w:t>УНП: 4913</w:t>
          </w:r>
          <w:r>
            <w:rPr>
              <w:color w:val="000000"/>
            </w:rPr>
            <w:t>92566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</w:rPr>
            <w:t>Республика Беларусь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</w:rPr>
            <w:t>2460</w:t>
          </w:r>
          <w:r>
            <w:rPr>
              <w:color w:val="000000"/>
            </w:rPr>
            <w:t>15</w:t>
          </w:r>
          <w:r>
            <w:rPr>
              <w:color w:val="000000"/>
            </w:rPr>
            <w:t xml:space="preserve"> г. Гомель</w:t>
          </w:r>
          <w:r>
            <w:rPr>
              <w:color w:val="000000"/>
              <w:lang w:val="be-BY"/>
            </w:rPr>
            <w:t>,</w:t>
          </w:r>
          <w:r>
            <w:rPr>
              <w:color w:val="000000"/>
            </w:rPr>
            <w:t xml:space="preserve"> ул. </w:t>
          </w:r>
          <w:r>
            <w:rPr>
              <w:color w:val="000000"/>
            </w:rPr>
            <w:t>Лепешинского</w:t>
          </w:r>
          <w:r>
            <w:rPr>
              <w:color w:val="000000"/>
            </w:rPr>
            <w:t xml:space="preserve"> д.</w:t>
          </w:r>
          <w:r>
            <w:rPr>
              <w:color w:val="000000"/>
            </w:rPr>
            <w:t>9Б</w:t>
          </w:r>
          <w:r>
            <w:rPr>
              <w:color w:val="000000"/>
            </w:rPr>
            <w:t>, к.</w:t>
          </w:r>
          <w:r>
            <w:rPr>
              <w:color w:val="000000"/>
            </w:rPr>
            <w:t>16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  <w:lang w:val="en-US"/>
            </w:rPr>
            <w:t>IBAN</w:t>
          </w:r>
          <w:r>
            <w:rPr>
              <w:color w:val="000000"/>
            </w:rPr>
            <w:t xml:space="preserve">: </w:t>
          </w:r>
          <w:r>
            <w:rPr>
              <w:color w:val="000000"/>
              <w:lang w:val="en-US"/>
            </w:rPr>
            <w:t>BY</w:t>
          </w:r>
          <w:r>
            <w:rPr>
              <w:color w:val="000000"/>
            </w:rPr>
            <w:t>4</w:t>
          </w:r>
          <w:r>
            <w:rPr>
              <w:color w:val="000000"/>
            </w:rPr>
            <w:t>5</w:t>
          </w:r>
          <w:r>
            <w:rPr>
              <w:color w:val="000000"/>
              <w:lang w:val="en-US"/>
            </w:rPr>
            <w:t>BAPB</w:t>
          </w:r>
          <w:r>
            <w:rPr>
              <w:color w:val="000000"/>
            </w:rPr>
            <w:t>30128835800100000000</w:t>
          </w:r>
          <w:r>
            <w:rPr>
              <w:color w:val="000000"/>
            </w:rPr>
            <w:t xml:space="preserve"> </w:t>
          </w:r>
          <w:r>
            <w:rPr>
              <w:color w:val="000000"/>
            </w:rPr>
            <w:t>в</w:t>
          </w:r>
          <w:r>
            <w:rPr>
              <w:color w:val="000000"/>
            </w:rPr>
            <w:t xml:space="preserve"> </w:t>
          </w:r>
          <w:r>
            <w:rPr>
              <w:color w:val="000000"/>
              <w:lang w:val="en-US"/>
            </w:rPr>
            <w:t>BYN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</w:rPr>
            <w:t>в</w:t>
          </w:r>
          <w:r>
            <w:rPr>
              <w:color w:val="000000"/>
            </w:rPr>
            <w:t xml:space="preserve"> </w:t>
          </w:r>
          <w:r>
            <w:rPr>
              <w:color w:val="000000"/>
            </w:rPr>
            <w:t>О</w:t>
          </w:r>
          <w:r>
            <w:rPr>
              <w:color w:val="000000"/>
            </w:rPr>
            <w:t>АО</w:t>
          </w:r>
          <w:r>
            <w:rPr>
              <w:color w:val="000000"/>
            </w:rPr>
            <w:t xml:space="preserve"> «</w:t>
          </w:r>
          <w:r>
            <w:rPr>
              <w:color w:val="000000"/>
            </w:rPr>
            <w:t>Белагропромб</w:t>
          </w:r>
          <w:r>
            <w:rPr>
              <w:color w:val="000000"/>
            </w:rPr>
            <w:t>а</w:t>
          </w:r>
          <w:r>
            <w:rPr>
              <w:color w:val="000000"/>
            </w:rPr>
            <w:t>нк</w:t>
          </w:r>
          <w:r>
            <w:rPr>
              <w:color w:val="000000"/>
            </w:rPr>
            <w:t xml:space="preserve">», </w:t>
          </w:r>
          <w:r>
            <w:rPr>
              <w:color w:val="000000"/>
              <w:lang w:val="en-US"/>
            </w:rPr>
            <w:t>BIC</w:t>
          </w:r>
          <w:r>
            <w:rPr>
              <w:color w:val="000000"/>
            </w:rPr>
            <w:t xml:space="preserve">: </w:t>
          </w:r>
          <w:r>
            <w:rPr>
              <w:color w:val="000000"/>
              <w:lang w:val="en-US"/>
            </w:rPr>
            <w:t>BAPB</w:t>
          </w:r>
          <w:r>
            <w:rPr>
              <w:color w:val="000000"/>
              <w:lang w:val="en-US"/>
            </w:rPr>
            <w:t>BY</w:t>
          </w:r>
          <w:r>
            <w:rPr>
              <w:color w:val="000000"/>
            </w:rPr>
            <w:t>2</w:t>
          </w:r>
          <w:r>
            <w:rPr>
              <w:color w:val="000000"/>
              <w:lang w:val="en-US"/>
            </w:rPr>
            <w:t>X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</w:rPr>
          </w:pPr>
          <w:r>
            <w:rPr>
              <w:color w:val="000000"/>
            </w:rPr>
            <w:t>Тел</w:t>
          </w:r>
          <w:r>
            <w:rPr>
              <w:color w:val="000000"/>
            </w:rPr>
            <w:t>.: +375 (</w:t>
          </w:r>
          <w:r>
            <w:rPr>
              <w:color w:val="000000"/>
            </w:rPr>
            <w:t>29</w:t>
          </w:r>
          <w:r>
            <w:rPr>
              <w:color w:val="000000"/>
            </w:rPr>
            <w:t xml:space="preserve">) </w:t>
          </w:r>
          <w:r>
            <w:rPr>
              <w:color w:val="000000"/>
            </w:rPr>
            <w:t>995</w:t>
          </w:r>
          <w:r>
            <w:rPr>
              <w:color w:val="000000"/>
            </w:rPr>
            <w:t>-</w:t>
          </w:r>
          <w:r>
            <w:rPr>
              <w:color w:val="000000"/>
            </w:rPr>
            <w:t>14</w:t>
          </w:r>
          <w:r>
            <w:rPr>
              <w:color w:val="000000"/>
            </w:rPr>
            <w:t>-2</w:t>
          </w:r>
          <w:r>
            <w:rPr>
              <w:color w:val="000000"/>
            </w:rPr>
            <w:t>5</w:t>
          </w:r>
          <w:r>
            <w:rPr>
              <w:color w:val="000000"/>
            </w:rPr>
            <w:t>, +375 (</w:t>
          </w:r>
          <w:r>
            <w:rPr>
              <w:color w:val="000000"/>
            </w:rPr>
            <w:t>29</w:t>
          </w:r>
          <w:r>
            <w:rPr>
              <w:color w:val="000000"/>
            </w:rPr>
            <w:t xml:space="preserve">) </w:t>
          </w:r>
          <w:r>
            <w:rPr>
              <w:color w:val="000000"/>
            </w:rPr>
            <w:t>693</w:t>
          </w:r>
          <w:r>
            <w:rPr>
              <w:color w:val="000000"/>
            </w:rPr>
            <w:t>-</w:t>
          </w:r>
          <w:r>
            <w:rPr>
              <w:color w:val="000000"/>
            </w:rPr>
            <w:t>65</w:t>
          </w:r>
          <w:r>
            <w:rPr>
              <w:color w:val="000000"/>
            </w:rPr>
            <w:t>-</w:t>
          </w:r>
          <w:r>
            <w:rPr>
              <w:color w:val="000000"/>
            </w:rPr>
            <w:t xml:space="preserve">94 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rFonts w:ascii="system-ui" w:hAnsi="system-ui"/>
              <w:color w:val="000000"/>
              <w:shd w:val="clear" w:color="auto" w:fill="FFFFFF"/>
              <w:lang w:val="en-US"/>
            </w:rPr>
          </w:pPr>
          <w:r>
            <w:rPr>
              <w:color w:val="000000"/>
              <w:lang w:val="en-US"/>
            </w:rPr>
            <w:t xml:space="preserve">E-mail: </w:t>
          </w:r>
          <w:hyperlink r:id="rId1" w:tooltip="mailto:tim.kurchenok@kliffort.com" w:history="1">
            <w:r>
              <w:rPr>
                <w:rStyle w:val="Hyperlink"/>
                <w:rFonts w:ascii="system-ui" w:hAnsi="system-ui"/>
                <w:shd w:val="clear" w:color="auto" w:fill="FFFFFF"/>
                <w:lang w:val="en-US"/>
              </w:rPr>
              <w:t>tim.kurchenok@kliffort.com</w:t>
            </w:r>
          </w:hyperlink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34" w:right="-108"/>
            <w:jc w:val="center"/>
            <w:rPr>
              <w:color w:val="000000"/>
              <w:lang w:val="en-US"/>
            </w:rPr>
          </w:pPr>
          <w:r>
            <w:rPr>
              <w:color w:val="000000"/>
            </w:rPr>
            <w:t>Сайт:</w:t>
          </w:r>
          <w:r>
            <w:rPr>
              <w:color w:val="000000"/>
              <w:lang w:val="en-US"/>
            </w:rPr>
            <w:t>kliffort.by</w:t>
          </w:r>
        </w:p>
      </w:tc>
      <w:tc>
        <w:tcPr>
          <w:tcW w:w="2019" w:type="dxa"/>
        </w:tcPr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249"/>
            <w:rPr>
              <w:color w:val="000000"/>
              <w:sz w:val="2"/>
              <w:szCs w:val="2"/>
              <w:lang w:val="en-US"/>
            </w:rPr>
          </w:pP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249"/>
            <w:jc w:val="center"/>
            <w:rPr>
              <w:color w:val="000000"/>
              <w:sz w:val="2"/>
              <w:szCs w:val="2"/>
              <w:lang w:val="en-US"/>
            </w:rPr>
          </w:pP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249"/>
            <w:jc w:val="center"/>
            <w:rPr>
              <w:color w:val="000000"/>
              <w:sz w:val="2"/>
              <w:szCs w:val="2"/>
              <w:lang w:val="en-US"/>
            </w:rPr>
          </w:pP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249"/>
            <w:jc w:val="center"/>
            <w:rPr>
              <w:color w:val="000000"/>
              <w:sz w:val="2"/>
              <w:szCs w:val="2"/>
              <w:lang w:val="en-US"/>
            </w:rPr>
          </w:pP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000000"/>
              <w:sz w:val="2"/>
              <w:szCs w:val="2"/>
              <w:lang w:val="en-US"/>
            </w:rPr>
          </w:pP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color w:val="000000"/>
              <w:sz w:val="28"/>
              <w:szCs w:val="28"/>
            </w:rPr>
          </w:pPr>
          <w:r>
            <w:rPr>
              <w:color w:val="000000"/>
              <w:sz w:val="28"/>
              <w:szCs w:val="28"/>
            </w:rPr>
            <w:drawing>
              <wp:inline distT="0" distB="0" distL="0" distR="0">
                <wp:extent cx="1195410" cy="1461655"/>
                <wp:effectExtent l="0" t="0" r="5080" b="5715"/>
                <wp:docPr id="1" name="Рисунок 29" descr="C:\Users\PC\Downloads\Telegram Desktop\Vect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PC\Downloads\Telegram Desktop\Vector.png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5010" cy="1546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5" w:type="dxa"/>
        </w:tcPr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Таварыства</w:t>
          </w:r>
          <w:r>
            <w:rPr>
              <w:b/>
              <w:color w:val="000000"/>
              <w:sz w:val="22"/>
              <w:szCs w:val="22"/>
            </w:rPr>
            <w:t xml:space="preserve"> з </w:t>
          </w:r>
          <w:r>
            <w:rPr>
              <w:b/>
              <w:color w:val="000000"/>
              <w:sz w:val="22"/>
              <w:szCs w:val="22"/>
            </w:rPr>
            <w:t>абмежаванай</w:t>
          </w:r>
          <w:r>
            <w:rPr>
              <w:b/>
              <w:color w:val="000000"/>
              <w:sz w:val="22"/>
              <w:szCs w:val="22"/>
            </w:rPr>
            <w:t xml:space="preserve"> </w:t>
          </w:r>
          <w:r>
            <w:rPr>
              <w:b/>
              <w:color w:val="000000"/>
              <w:sz w:val="22"/>
              <w:szCs w:val="22"/>
            </w:rPr>
            <w:t>адказнасцю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«</w:t>
          </w:r>
          <w:r>
            <w:rPr>
              <w:b/>
              <w:color w:val="000000"/>
              <w:sz w:val="32"/>
              <w:szCs w:val="32"/>
            </w:rPr>
            <w:t>Кл</w:t>
          </w:r>
          <w:r>
            <w:rPr>
              <w:b/>
              <w:color w:val="000000"/>
              <w:sz w:val="32"/>
              <w:szCs w:val="32"/>
              <w:lang w:val="be-BY"/>
            </w:rPr>
            <w:t>іфарт Груп</w:t>
          </w:r>
          <w:r>
            <w:rPr>
              <w:b/>
              <w:color w:val="000000"/>
              <w:sz w:val="32"/>
              <w:szCs w:val="32"/>
            </w:rPr>
            <w:t>»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</w:rPr>
          </w:pPr>
          <w:r>
            <w:rPr>
              <w:color w:val="000000"/>
            </w:rPr>
            <w:t xml:space="preserve">УНП: </w:t>
          </w:r>
          <w:r>
            <w:rPr>
              <w:color w:val="000000"/>
            </w:rPr>
            <w:t>491392566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</w:rPr>
          </w:pPr>
          <w:r>
            <w:rPr>
              <w:color w:val="000000"/>
            </w:rPr>
            <w:t>Республiка</w:t>
          </w:r>
          <w:r>
            <w:rPr>
              <w:color w:val="000000"/>
            </w:rPr>
            <w:t xml:space="preserve"> Беларусь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  <w:lang w:val="be-BY"/>
            </w:rPr>
          </w:pPr>
          <w:r>
            <w:rPr>
              <w:color w:val="000000"/>
            </w:rPr>
            <w:t>2460</w:t>
          </w:r>
          <w:r>
            <w:rPr>
              <w:color w:val="000000"/>
            </w:rPr>
            <w:t>1</w:t>
          </w:r>
          <w:r>
            <w:rPr>
              <w:color w:val="000000"/>
              <w:lang w:val="be-BY"/>
            </w:rPr>
            <w:t>5</w:t>
          </w:r>
          <w:r>
            <w:rPr>
              <w:color w:val="000000"/>
            </w:rPr>
            <w:t xml:space="preserve"> г. Гомель</w:t>
          </w:r>
          <w:r>
            <w:rPr>
              <w:color w:val="000000"/>
              <w:lang w:val="be-BY"/>
            </w:rPr>
            <w:t>,</w:t>
          </w:r>
          <w:r>
            <w:rPr>
              <w:color w:val="000000"/>
            </w:rPr>
            <w:t xml:space="preserve"> </w:t>
          </w:r>
          <w:r>
            <w:rPr>
              <w:color w:val="000000"/>
            </w:rPr>
            <w:t>вул</w:t>
          </w:r>
          <w:r>
            <w:rPr>
              <w:color w:val="000000"/>
            </w:rPr>
            <w:t xml:space="preserve">. </w:t>
          </w:r>
          <w:r>
            <w:rPr>
              <w:color w:val="000000"/>
              <w:lang w:val="be-BY"/>
            </w:rPr>
            <w:t>Лепяшын</w:t>
          </w:r>
          <w:r>
            <w:rPr>
              <w:color w:val="000000"/>
            </w:rPr>
            <w:t>скага</w:t>
          </w:r>
          <w:r>
            <w:rPr>
              <w:color w:val="000000"/>
              <w:lang w:val="en-US"/>
            </w:rPr>
            <w:t xml:space="preserve"> </w:t>
          </w:r>
          <w:r>
            <w:rPr>
              <w:color w:val="000000"/>
            </w:rPr>
            <w:t>д</w:t>
          </w:r>
          <w:r>
            <w:rPr>
              <w:color w:val="000000"/>
              <w:lang w:val="en-US"/>
            </w:rPr>
            <w:t>.</w:t>
          </w:r>
          <w:r>
            <w:rPr>
              <w:color w:val="000000"/>
              <w:lang w:val="be-BY"/>
            </w:rPr>
            <w:t>9Б</w:t>
          </w:r>
          <w:r>
            <w:rPr>
              <w:color w:val="000000"/>
              <w:lang w:val="en-US"/>
            </w:rPr>
            <w:t xml:space="preserve">, </w:t>
          </w:r>
          <w:r>
            <w:rPr>
              <w:color w:val="000000"/>
            </w:rPr>
            <w:t>к</w:t>
          </w:r>
          <w:r>
            <w:rPr>
              <w:color w:val="000000"/>
              <w:lang w:val="en-US"/>
            </w:rPr>
            <w:t>.</w:t>
          </w:r>
          <w:r>
            <w:rPr>
              <w:color w:val="000000"/>
              <w:lang w:val="be-BY"/>
            </w:rPr>
            <w:t>16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 w:right="-108"/>
            <w:jc w:val="center"/>
            <w:rPr>
              <w:color w:val="000000"/>
              <w:lang w:val="en-US"/>
            </w:rPr>
          </w:pPr>
          <w:r>
            <w:rPr>
              <w:color w:val="000000"/>
              <w:lang w:val="en-US"/>
            </w:rPr>
            <w:t xml:space="preserve">IBAN: </w:t>
          </w:r>
          <w:r>
            <w:rPr>
              <w:color w:val="000000"/>
              <w:lang w:val="en-US"/>
            </w:rPr>
            <w:t>BY</w:t>
          </w:r>
          <w:r>
            <w:rPr>
              <w:color w:val="000000"/>
              <w:lang w:val="en-US"/>
            </w:rPr>
            <w:t>45</w:t>
          </w:r>
          <w:r>
            <w:rPr>
              <w:color w:val="000000"/>
              <w:lang w:val="en-US"/>
            </w:rPr>
            <w:t>BAPB</w:t>
          </w:r>
          <w:r>
            <w:rPr>
              <w:color w:val="000000"/>
              <w:lang w:val="en-US"/>
            </w:rPr>
            <w:t>30128835800100000000</w:t>
          </w:r>
          <w:r>
            <w:rPr>
              <w:color w:val="000000"/>
              <w:lang w:val="en-US"/>
            </w:rPr>
            <w:t xml:space="preserve"> </w:t>
          </w:r>
          <w:r>
            <w:rPr>
              <w:color w:val="000000"/>
            </w:rPr>
            <w:t>у</w:t>
          </w:r>
          <w:r>
            <w:rPr>
              <w:color w:val="000000"/>
              <w:lang w:val="en-US"/>
            </w:rPr>
            <w:t xml:space="preserve"> BYN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</w:rPr>
          </w:pPr>
          <w:r>
            <w:rPr>
              <w:color w:val="000000"/>
            </w:rPr>
            <w:t xml:space="preserve">у </w:t>
          </w:r>
          <w:r>
            <w:rPr>
              <w:color w:val="000000"/>
            </w:rPr>
            <w:t>ТАТ</w:t>
          </w:r>
          <w:r>
            <w:rPr>
              <w:color w:val="000000"/>
            </w:rPr>
            <w:t xml:space="preserve"> «</w:t>
          </w:r>
          <w:r>
            <w:rPr>
              <w:color w:val="000000"/>
            </w:rPr>
            <w:t>Белагропромбанк</w:t>
          </w:r>
          <w:r>
            <w:rPr>
              <w:color w:val="000000"/>
            </w:rPr>
            <w:t>»</w:t>
          </w:r>
          <w:r>
            <w:rPr>
              <w:color w:val="000000"/>
            </w:rPr>
            <w:t xml:space="preserve">, BIC: </w:t>
          </w:r>
          <w:r>
            <w:rPr>
              <w:color w:val="000000"/>
              <w:lang w:val="en-US"/>
            </w:rPr>
            <w:t>BAPB</w:t>
          </w:r>
          <w:r>
            <w:rPr>
              <w:color w:val="000000"/>
              <w:lang w:val="en-US"/>
            </w:rPr>
            <w:t>BY</w:t>
          </w:r>
          <w:r>
            <w:rPr>
              <w:color w:val="000000"/>
            </w:rPr>
            <w:t>2</w:t>
          </w:r>
          <w:r>
            <w:rPr>
              <w:color w:val="000000"/>
              <w:lang w:val="en-US"/>
            </w:rPr>
            <w:t>X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</w:rPr>
          </w:pPr>
          <w:r>
            <w:rPr>
              <w:color w:val="000000"/>
            </w:rPr>
            <w:t>Тэл</w:t>
          </w:r>
          <w:r>
            <w:rPr>
              <w:color w:val="000000"/>
            </w:rPr>
            <w:t>+375 (29) 995-14-25, +375 (29) 693-65-94</w:t>
          </w:r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rFonts w:ascii="system-ui" w:hAnsi="system-ui"/>
              <w:color w:val="000000"/>
              <w:shd w:val="clear" w:color="auto" w:fill="FFFFFF"/>
              <w:lang w:val="en-US"/>
            </w:rPr>
          </w:pPr>
          <w:r>
            <w:rPr>
              <w:color w:val="000000"/>
              <w:lang w:val="en-US"/>
            </w:rPr>
            <w:t xml:space="preserve">E-mail: </w:t>
          </w:r>
          <w:hyperlink r:id="rId3" w:tooltip="mailto:tim.kurchenok@kliffort.com" w:history="1">
            <w:r>
              <w:rPr>
                <w:rStyle w:val="Hyperlink"/>
                <w:rFonts w:ascii="system-ui" w:hAnsi="system-ui"/>
                <w:shd w:val="clear" w:color="auto" w:fill="FFFFFF"/>
                <w:lang w:val="en-US"/>
              </w:rPr>
              <w:t>tim.kurchenok@kliffort.com</w:t>
            </w:r>
          </w:hyperlink>
        </w:p>
        <w:p>
          <w:pPr>
            <w:pBdr>
              <w:top w:val="nil"/>
              <w:left w:val="nil"/>
              <w:bottom w:val="nil"/>
              <w:right w:val="nil"/>
              <w:between w:val="nil"/>
            </w:pBdr>
            <w:ind w:left="-108"/>
            <w:jc w:val="center"/>
            <w:rPr>
              <w:color w:val="000000"/>
              <w:sz w:val="22"/>
              <w:szCs w:val="22"/>
              <w:lang w:val="en-US"/>
            </w:rPr>
          </w:pPr>
          <w:r>
            <w:rPr>
              <w:color w:val="000000"/>
            </w:rPr>
            <w:t>Сайт:</w:t>
          </w:r>
          <w:r>
            <w:rPr>
              <w:color w:val="000000"/>
              <w:lang w:val="en-US"/>
            </w:rPr>
            <w:t>kliffort.by</w:t>
          </w:r>
        </w:p>
      </w:tc>
    </w:tr>
  </w:tbl>
  <w:p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7E7861"/>
    <w:multiLevelType w:val="hybridMultilevel"/>
    <w:tmpl w:val="0000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BF7BEF"/>
    <w:multiLevelType w:val="hybridMultilevel"/>
    <w:tmpl w:val="0000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EC68DA"/>
    <w:multiLevelType w:val="hybridMultilevel"/>
    <w:tmpl w:val="0000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4E1270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ED1DF0"/>
    <w:multiLevelType w:val="hybridMultilevel"/>
    <w:tmpl w:val="00000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nwCell"/>
    <w:tblStylePr w:type="neCell"/>
    <w:tblStylePr w:type="swCell"/>
    <w:tblStylePr w:type="seCell"/>
    <w:tblStylePr w:type="wholeTable"/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Horz"/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nwCell"/>
    <w:tblStylePr w:type="neCell"/>
    <w:tblStylePr w:type="swCell"/>
    <w:tblStylePr w:type="seCell"/>
    <w:tblStylePr w:type="wholeTable"/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Horz"/>
    <w:tblStylePr w:type="band2Vert"/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band1Vert"/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2Horz"/>
    <w:tblStylePr w:type="band2Vert"/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nwCell"/>
    <w:tblStylePr w:type="neCell"/>
    <w:tblStylePr w:type="swCell"/>
    <w:tblStylePr w:type="seCell"/>
    <w:tblStylePr w:type="wholeTable"/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Color="accent1" w:themeTint="32" w:themeFill="accent1" w:themeFillTint="32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B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A9796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B5A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7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BE5F2" w:themeColor="accent1" w:themeTint="34" w:themeFill="accent1" w:themeFillTint="34"/>
    </w:tblPr>
    <w:tblStylePr w:type="band1Horz">
      <w:tblPr/>
      <w:tcPr>
        <w:shd w:val="clear" w:color="FFFFFF" w:fill="AEC5E1" w:themeColor="accent1" w:themeTint="75" w:themeFill="accent1" w:themeFillTint="75"/>
      </w:tcPr>
    </w:tblStylePr>
    <w:tblStylePr w:type="band1Vert">
      <w:tblPr/>
      <w:tcPr>
        <w:shd w:val="clear" w:color="FFFFFF" w:fill="AEC5E1" w:themeColor="accent1" w:themeTint="75" w:themeFill="accent1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3DDDC" w:themeColor="accent2" w:themeTint="32" w:themeFill="accent2" w:themeFillTint="32"/>
    </w:tblPr>
    <w:tblStylePr w:type="band1Horz">
      <w:tblPr/>
      <w:tcPr>
        <w:shd w:val="clear" w:color="FFFFFF" w:fill="E2AFAD" w:themeColor="accent2" w:themeTint="75" w:themeFill="accent2" w:themeFillTint="75"/>
      </w:tcPr>
    </w:tblStylePr>
    <w:tblStylePr w:type="band1Vert">
      <w:tblPr/>
      <w:tcPr>
        <w:shd w:val="clear" w:color="FFFFFF" w:fill="E2AFAD" w:themeColor="accent2" w:themeTint="75" w:themeFill="accent2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BF1DD" w:themeColor="accent3" w:themeTint="34" w:themeFill="accent3" w:themeFillTint="34"/>
    </w:tblPr>
    <w:tblStylePr w:type="band1Horz">
      <w:tblPr/>
      <w:tcPr>
        <w:shd w:val="clear" w:color="FFFFFF" w:fill="D1E0B3" w:themeColor="accent3" w:themeTint="75" w:themeFill="accent3" w:themeFillTint="75"/>
      </w:tcPr>
    </w:tblStylePr>
    <w:tblStylePr w:type="band1Vert">
      <w:tblPr/>
      <w:tcPr>
        <w:shd w:val="clear" w:color="FFFFFF" w:fill="D1E0B3" w:themeColor="accent3" w:themeTint="75" w:themeFill="accent3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5B8D4" w:themeColor="accent4" w:themeTint="75" w:themeFill="accent4" w:themeFillTint="75"/>
      </w:tcPr>
    </w:tblStylePr>
    <w:tblStylePr w:type="band1Vert">
      <w:tblPr/>
      <w:tcPr>
        <w:shd w:val="clear" w:color="FFFFFF" w:fill="C5B8D4" w:themeColor="accent4" w:themeTint="75" w:themeFill="accent4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CD9E5" w:themeColor="accent5" w:themeTint="75" w:themeFill="accent5" w:themeFillTint="75"/>
      </w:tcPr>
    </w:tblStylePr>
    <w:tblStylePr w:type="band1Vert">
      <w:tblPr/>
      <w:tcPr>
        <w:shd w:val="clear" w:color="FFFFFF" w:fill="ACD9E5" w:themeColor="accent5" w:themeTint="75" w:themeFill="accent5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AD9" w:themeColor="accent6" w:themeTint="34" w:themeFill="accent6" w:themeFillTint="34"/>
    </w:tblPr>
    <w:tblStylePr w:type="band1Horz">
      <w:tblPr/>
      <w:tcPr>
        <w:shd w:val="clear" w:color="FFFFFF" w:fill="FBCFAA" w:themeColor="accent6" w:themeTint="75" w:themeFill="accent6" w:themeFillTint="75"/>
      </w:tcPr>
    </w:tblStylePr>
    <w:tblStylePr w:type="band1Vert">
      <w:tblPr/>
      <w:tcPr>
        <w:shd w:val="clear" w:color="FFFFFF" w:fill="FBCFAA" w:themeColor="accent6" w:themeTint="75" w:themeFill="accent6" w:themeFillTint="75"/>
      </w:tcPr>
    </w:tblStylePr>
    <w:tblStylePr w:type="band2Horz"/>
    <w:tblStylePr w:type="band2Vert"/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  <w:tblStylePr w:type="nwCell"/>
    <w:tblStylePr w:type="neCell"/>
    <w:tblStylePr w:type="swCell"/>
    <w:tblStylePr w:type="seCell"/>
    <w:tblStylePr w:type="wholeTable"/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band2Vert"/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1Vert">
      <w:tblPr/>
      <w:tcPr>
        <w:shd w:val="clear" w:color="FFFFFF" w:fill="DBE5F2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band2Vert"/>
    <w:tblStylePr w:type="firstCol">
      <w:rPr>
        <w:b/>
        <w:color w:val="3E6DA5" w:themeColor="accent1" w:themeShade="95" w:themeTint="80"/>
      </w:rPr>
    </w:tblStylePr>
    <w:tblStylePr w:type="firstRow">
      <w:rPr>
        <w:b/>
        <w:color w:val="3E6DA5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6DA5" w:themeColor="accent1" w:themeShade="95" w:themeTint="80"/>
      </w:rPr>
    </w:tblStylePr>
    <w:tblStylePr w:type="lastRow">
      <w:rPr>
        <w:b/>
        <w:color w:val="3E6DA5" w:themeColor="accent1" w:themeShade="95" w:themeTint="80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1Vert">
      <w:tblPr/>
      <w:tcPr>
        <w:shd w:val="clear" w:color="FFFFFF" w:fill="F3DDDC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band2Vert"/>
    <w:tblStylePr w:type="firstCol">
      <w:rPr>
        <w:b/>
        <w:color w:val="9F3B38" w:themeColor="accent2" w:themeShade="95" w:themeTint="97"/>
      </w:rPr>
    </w:tblStylePr>
    <w:tblStylePr w:type="firstRow">
      <w:rPr>
        <w:b/>
        <w:color w:val="9F3B38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F3B38" w:themeColor="accent2" w:themeShade="95" w:themeTint="97"/>
      </w:rPr>
    </w:tblStylePr>
    <w:tblStylePr w:type="lastRow">
      <w:rPr>
        <w:b/>
        <w:color w:val="9F3B38" w:themeColor="accent2" w:themeShade="95" w:themeTint="97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1Vert">
      <w:tblPr/>
      <w:tcPr>
        <w:shd w:val="clear" w:color="FFFFFF" w:fill="EBF1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band2Vert"/>
    <w:tblStylePr w:type="firstCol">
      <w:rPr>
        <w:b/>
        <w:color w:val="5D732F" w:themeColor="accent3" w:themeShade="95" w:themeTint="FE"/>
      </w:rPr>
    </w:tblStylePr>
    <w:tblStylePr w:type="firstRow">
      <w:rPr>
        <w:b/>
        <w:color w:val="5D73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D732F" w:themeColor="accent3" w:themeShade="95" w:themeTint="FE"/>
      </w:rPr>
    </w:tblStylePr>
    <w:tblStylePr w:type="lastRow">
      <w:rPr>
        <w:b/>
        <w:color w:val="5D732F" w:themeColor="accent3" w:themeShade="95" w:themeTint="FE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band2Vert"/>
    <w:tblStylePr w:type="firstCol">
      <w:rPr>
        <w:b/>
        <w:color w:val="674F84" w:themeColor="accent4" w:themeShade="95" w:themeTint="9A"/>
      </w:rPr>
    </w:tblStylePr>
    <w:tblStylePr w:type="firstRow">
      <w:rPr>
        <w:b/>
        <w:color w:val="674F84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74F84" w:themeColor="accent4" w:themeShade="95" w:themeTint="9A"/>
      </w:rPr>
    </w:tblStylePr>
    <w:tblStylePr w:type="lastRow">
      <w:rPr>
        <w:b/>
        <w:color w:val="674F84" w:themeColor="accent4" w:themeShade="95" w:themeTint="9A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band2Vert"/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1Vert">
      <w:tblPr/>
      <w:tcPr>
        <w:shd w:val="clear" w:color="FFFFFF" w:fill="FDEAD9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band2Vert"/>
    <w:tblStylePr w:type="firstCol">
      <w:rPr>
        <w:b/>
        <w:color w:val="266879" w:themeColor="accent5" w:themeShade="95"/>
      </w:rPr>
    </w:tblStylePr>
    <w:tblStylePr w:type="firstRow">
      <w:rPr>
        <w:b/>
        <w:color w:val="266879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879" w:themeColor="accent5" w:themeShade="95"/>
      </w:rPr>
    </w:tblStylePr>
    <w:tblStylePr w:type="lastRow">
      <w:rPr>
        <w:b/>
        <w:color w:val="266879" w:themeColor="accent5" w:themeShade="95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6DA5" w:themeColor="accent1" w:themeShade="95" w:themeTint="80"/>
        <w:sz w:val="22"/>
      </w:rPr>
      <w:tblPr/>
      <w:tcPr>
        <w:shd w:val="clear" w:color="FFFFFF" w:fill="DBE5F2" w:themeColor="accent1" w:themeTint="34" w:themeFill="accent1" w:themeFillTint="34"/>
      </w:tcPr>
    </w:tblStylePr>
    <w:tblStylePr w:type="band1Vert">
      <w:tblPr/>
      <w:tcPr>
        <w:shd w:val="clear" w:color="FFFFFF" w:fill="DBE5F2" w:themeColor="accent1" w:themeTint="34" w:themeFill="accent1" w:themeFillTint="34"/>
      </w:tcPr>
    </w:tblStylePr>
    <w:tblStylePr w:type="band2Horz">
      <w:rPr>
        <w:rFonts w:ascii="Arial" w:hAnsi="Arial"/>
        <w:color w:val="3E6DA5" w:themeColor="accent1" w:themeShade="95" w:themeTint="80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3E6DA5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6DA5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6DA5" w:themeColor="accen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3E6DA5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F3B38" w:themeColor="accent2" w:themeShade="95" w:themeTint="97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1Vert">
      <w:tblPr/>
      <w:tcPr>
        <w:shd w:val="clear" w:color="FFFFFF" w:fill="F3DDDC" w:themeColor="accent2" w:themeTint="32" w:themeFill="accent2" w:themeFillTint="32"/>
      </w:tcPr>
    </w:tblStylePr>
    <w:tblStylePr w:type="band2Horz">
      <w:rPr>
        <w:rFonts w:ascii="Arial" w:hAnsi="Arial"/>
        <w:color w:val="9F3B38" w:themeColor="accent2" w:themeShade="95" w:themeTint="97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F3B38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D732F" w:themeColor="accent3" w:themeShade="95" w:themeTint="FE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1Vert">
      <w:tblPr/>
      <w:tcPr>
        <w:shd w:val="clear" w:color="FFFFFF" w:fill="EBF1DD" w:themeColor="accent3" w:themeTint="34" w:themeFill="accent3" w:themeFillTint="34"/>
      </w:tcPr>
    </w:tblStylePr>
    <w:tblStylePr w:type="band2Horz">
      <w:rPr>
        <w:rFonts w:ascii="Arial" w:hAnsi="Arial"/>
        <w:color w:val="5D732F" w:themeColor="accent3" w:themeShade="95" w:themeTint="FE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5D73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D73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FE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D732F" w:themeColor="accent3" w:themeShade="95" w:themeTint="FE"/>
        <w:sz w:val="22"/>
      </w:rPr>
      <w:tblPr/>
      <w:tcPr>
        <w:tcBorders>
          <w:top w:val="none" w:sz="0" w:space="0" w:color="auto"/>
          <w:left w:val="single" w:sz="4" w:space="0" w:color="000000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5D73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74F84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74F84" w:themeColor="accent4" w:themeShade="95" w:themeTint="9A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674F84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8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2668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tblPr/>
      <w:tcPr>
        <w:tcBorders>
          <w:top w:val="none" w:sz="0" w:space="0" w:color="auto"/>
          <w:left w:val="single" w:sz="4" w:space="0" w:color="00000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tblPr/>
      <w:tcPr>
        <w:tcBorders>
          <w:top w:val="single" w:sz="4" w:space="0" w:color="00000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25408" w:themeColor="accent6" w:themeShade="95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1Vert">
      <w:tblPr/>
      <w:tcPr>
        <w:shd w:val="clear" w:color="FFFFFF" w:fill="FDEAD9" w:themeColor="accent6" w:themeTint="34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B25408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tblPr/>
      <w:tcPr>
        <w:tcBorders>
          <w:top w:val="none" w:sz="0" w:space="0" w:color="auto"/>
          <w:left w:val="single" w:sz="4" w:space="0" w:color="000000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tblPr/>
      <w:tcPr>
        <w:tcBorders>
          <w:top w:val="single" w:sz="4" w:space="0" w:color="000000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/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DFEE" w:themeColor="accent1" w:themeTint="40" w:themeFill="accent1" w:themeFillTint="40"/>
      </w:tcPr>
    </w:tblStylePr>
    <w:tblStylePr w:type="band1Vert">
      <w:tblPr/>
      <w:tcPr>
        <w:shd w:val="clear" w:color="FFFFFF" w:fill="D3DFEE" w:themeColor="accent1" w:themeTint="40" w:themeFill="accent1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8" w:themeColor="accent4" w:themeTint="40" w:themeFill="accent4" w:themeFillTint="40"/>
      </w:tcPr>
    </w:tblStylePr>
    <w:tblStylePr w:type="band1Vert">
      <w:tblPr/>
      <w:tcPr>
        <w:shd w:val="clear" w:color="FFFFFF" w:fill="DFD8E8" w:themeColor="accent4" w:themeTint="40" w:themeFill="accent4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2EAF1" w:themeColor="accent5" w:themeTint="40" w:themeFill="accent5" w:themeFillTint="40"/>
      </w:tcPr>
    </w:tblStylePr>
    <w:tblStylePr w:type="band1Vert">
      <w:tblPr/>
      <w:tcPr>
        <w:shd w:val="clear" w:color="FFFFFF" w:fill="D2EAF1" w:themeColor="accent5" w:themeTint="40" w:themeFill="accent5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DE5D1" w:themeColor="accent6" w:themeTint="40" w:themeFill="accent6" w:themeFillTint="40"/>
      </w:tcPr>
    </w:tblStylePr>
    <w:tblStylePr w:type="band1Vert">
      <w:tblPr/>
      <w:tcPr>
        <w:shd w:val="clear" w:color="FFFFFF" w:fill="FDE5D1" w:themeColor="accent6" w:themeTint="40" w:themeFill="accent6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2Horz"/>
    <w:tblStylePr w:type="band2Vert"/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C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DDD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1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2Horz"/>
    <w:tblStylePr w:type="band2Vert"/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  <w:tblStylePr w:type="nwCell"/>
    <w:tblStylePr w:type="neCell"/>
    <w:tblStylePr w:type="swCell"/>
    <w:tblStylePr w:type="seCell"/>
    <w:tblStylePr w:type="wholeTable"/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A9796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A9796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A9796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A9796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A9796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C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C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C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C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C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7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7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7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7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7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2CDDD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2CDDD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2CDDD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2CDDD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2CDDD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AC091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AC091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AC091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AC091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AC091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band2Vert"/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1Vert">
      <w:tblPr/>
      <w:tcPr>
        <w:shd w:val="clear" w:color="FFFFFF" w:fill="D3DF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band2Vert"/>
    <w:tblStylePr w:type="firstCol">
      <w:rPr>
        <w:b/>
        <w:color w:val="2B4B72" w:themeColor="accent1" w:themeShade="95"/>
      </w:rPr>
    </w:tblStylePr>
    <w:tblStylePr w:type="firstRow">
      <w:rPr>
        <w:b/>
        <w:color w:val="2B4B72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B4B72" w:themeColor="accent1" w:themeShade="95"/>
      </w:rPr>
    </w:tblStylePr>
    <w:tblStylePr w:type="lastRow">
      <w:rPr>
        <w:b/>
        <w:color w:val="2B4B72" w:themeColor="accent1" w:themeShade="95"/>
      </w:rPr>
      <w:tblPr/>
      <w:tcPr>
        <w:tcBorders>
          <w:top w:val="single" w:sz="4" w:space="0" w:color="000000" w:themeColor="accent1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band2Vert"/>
    <w:tblStylePr w:type="firstCol">
      <w:rPr>
        <w:b/>
        <w:color w:val="9F3B38" w:themeColor="accent2" w:themeShade="95" w:themeTint="97"/>
      </w:rPr>
    </w:tblStylePr>
    <w:tblStylePr w:type="firstRow">
      <w:rPr>
        <w:b/>
        <w:color w:val="9F3B38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F3B38" w:themeColor="accent2" w:themeShade="95" w:themeTint="97"/>
      </w:rPr>
    </w:tblStylePr>
    <w:tblStylePr w:type="lastRow">
      <w:rPr>
        <w:b/>
        <w:color w:val="9F3B38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band2Vert"/>
    <w:tblStylePr w:type="firstCol">
      <w:rPr>
        <w:b/>
        <w:color w:val="7C9A3F" w:themeColor="accent3" w:themeShade="95" w:themeTint="98"/>
      </w:rPr>
    </w:tblStylePr>
    <w:tblStylePr w:type="firstRow">
      <w:rPr>
        <w:b/>
        <w:color w:val="7C9A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A3F" w:themeColor="accent3" w:themeShade="95" w:themeTint="98"/>
      </w:rPr>
    </w:tblStylePr>
    <w:tblStylePr w:type="lastRow">
      <w:rPr>
        <w:b/>
        <w:color w:val="7C9A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1Vert">
      <w:tblPr/>
      <w:tcPr>
        <w:shd w:val="clear" w:color="FFFFFF" w:fill="DFD8E8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band2Vert"/>
    <w:tblStylePr w:type="firstCol">
      <w:rPr>
        <w:b/>
        <w:color w:val="674F84" w:themeColor="accent4" w:themeShade="95" w:themeTint="9A"/>
      </w:rPr>
    </w:tblStylePr>
    <w:tblStylePr w:type="firstRow">
      <w:rPr>
        <w:b/>
        <w:color w:val="674F84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74F84" w:themeColor="accent4" w:themeShade="95" w:themeTint="9A"/>
      </w:rPr>
    </w:tblStylePr>
    <w:tblStylePr w:type="lastRow">
      <w:rPr>
        <w:b/>
        <w:color w:val="674F84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1Vert">
      <w:tblPr/>
      <w:tcPr>
        <w:shd w:val="clear" w:color="FFFFFF" w:fill="D2EAF1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band2Vert"/>
    <w:tblStylePr w:type="firstCol">
      <w:rPr>
        <w:b/>
        <w:color w:val="348BA3" w:themeColor="accent5" w:themeShade="95" w:themeTint="9A"/>
      </w:rPr>
    </w:tblStylePr>
    <w:tblStylePr w:type="firstRow">
      <w:rPr>
        <w:b/>
        <w:color w:val="348BA3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48BA3" w:themeColor="accent5" w:themeShade="95" w:themeTint="9A"/>
      </w:rPr>
    </w:tblStylePr>
    <w:tblStylePr w:type="lastRow">
      <w:rPr>
        <w:b/>
        <w:color w:val="348BA3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1Vert">
      <w:tblPr/>
      <w:tcPr>
        <w:shd w:val="clear" w:color="FFFFFF" w:fill="FDE5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band2Vert"/>
    <w:tblStylePr w:type="firstCol">
      <w:rPr>
        <w:b/>
        <w:color w:val="DD690A" w:themeColor="accent6" w:themeShade="95" w:themeTint="98"/>
      </w:rPr>
    </w:tblStylePr>
    <w:tblStylePr w:type="firstRow">
      <w:rPr>
        <w:b/>
        <w:color w:val="DD690A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D690A" w:themeColor="accent6" w:themeShade="95" w:themeTint="98"/>
      </w:rPr>
    </w:tblStylePr>
    <w:tblStylePr w:type="lastRow">
      <w:rPr>
        <w:b/>
        <w:color w:val="DD690A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B4B72" w:themeColor="accent1" w:themeShade="95"/>
        <w:sz w:val="22"/>
      </w:rPr>
      <w:tblPr/>
      <w:tcPr>
        <w:shd w:val="clear" w:color="FFFFFF" w:fill="D3DFEE" w:themeColor="accent1" w:themeTint="40" w:themeFill="accent1" w:themeFillTint="40"/>
      </w:tcPr>
    </w:tblStylePr>
    <w:tblStylePr w:type="band1Vert">
      <w:tblPr/>
      <w:tcPr>
        <w:shd w:val="clear" w:color="FFFFFF" w:fill="D3DFEE" w:themeColor="accent1" w:themeTint="40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2B4B72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tblPr/>
      <w:tcPr>
        <w:tcBorders>
          <w:top w:val="none" w:sz="0" w:space="0" w:color="auto"/>
          <w:left w:val="single" w:sz="4" w:space="0" w:color="000000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tblPr/>
      <w:tcPr>
        <w:tcBorders>
          <w:top w:val="single" w:sz="4" w:space="0" w:color="000000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2B4B72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F3B38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F3B38" w:themeColor="accent2" w:themeShade="95" w:themeTint="97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F3B38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9F3B38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A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A3F" w:themeColor="accent3" w:themeShade="95" w:themeTint="98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7C9A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A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A3F" w:themeColor="accent3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C9A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7C9A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74F84" w:themeColor="accent4" w:themeShade="95" w:themeTint="9A"/>
        <w:sz w:val="22"/>
      </w:rPr>
      <w:tblPr/>
      <w:tcPr>
        <w:shd w:val="clear" w:color="FFFFFF" w:fill="DFD8E8" w:themeColor="accent4" w:themeTint="40" w:themeFill="accent4" w:themeFillTint="40"/>
      </w:tcPr>
    </w:tblStylePr>
    <w:tblStylePr w:type="band1Vert">
      <w:tblPr/>
      <w:tcPr>
        <w:shd w:val="clear" w:color="FFFFFF" w:fill="DFD8E8" w:themeColor="accent4" w:themeTint="40" w:themeFill="accent4" w:themeFillTint="40"/>
      </w:tcPr>
    </w:tblStylePr>
    <w:tblStylePr w:type="band2Horz">
      <w:rPr>
        <w:rFonts w:ascii="Arial" w:hAnsi="Arial"/>
        <w:color w:val="674F84" w:themeColor="accent4" w:themeShade="95" w:themeTint="9A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674F84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674F84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48BA3" w:themeColor="accent5" w:themeShade="95" w:themeTint="9A"/>
        <w:sz w:val="22"/>
      </w:rPr>
      <w:tblPr/>
      <w:tcPr>
        <w:shd w:val="clear" w:color="FFFFFF" w:fill="D2EAF1" w:themeColor="accent5" w:themeTint="40" w:themeFill="accent5" w:themeFillTint="40"/>
      </w:tcPr>
    </w:tblStylePr>
    <w:tblStylePr w:type="band1Vert">
      <w:tblPr/>
      <w:tcPr>
        <w:shd w:val="clear" w:color="FFFFFF" w:fill="D2EAF1" w:themeColor="accent5" w:themeTint="40" w:themeFill="accent5" w:themeFillTint="40"/>
      </w:tcPr>
    </w:tblStylePr>
    <w:tblStylePr w:type="band2Horz">
      <w:rPr>
        <w:rFonts w:ascii="Arial" w:hAnsi="Arial"/>
        <w:color w:val="348BA3" w:themeColor="accent5" w:themeShade="95" w:themeTint="9A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348BA3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48BA3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48BA3" w:themeColor="accent5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348BA3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348BA3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D690A" w:themeColor="accent6" w:themeShade="95" w:themeTint="98"/>
        <w:sz w:val="22"/>
      </w:rPr>
      <w:tblPr/>
      <w:tcPr>
        <w:shd w:val="clear" w:color="FFFFFF" w:fill="FDE5D1" w:themeColor="accent6" w:themeTint="40" w:themeFill="accent6" w:themeFillTint="40"/>
      </w:tcPr>
    </w:tblStylePr>
    <w:tblStylePr w:type="band1Vert">
      <w:tblPr/>
      <w:tcPr>
        <w:shd w:val="clear" w:color="FFFFFF" w:fill="FDE5D1" w:themeColor="accent6" w:themeTint="40" w:themeFill="accent6" w:themeFillTint="40"/>
      </w:tcPr>
    </w:tblStylePr>
    <w:tblStylePr w:type="band2Horz">
      <w:rPr>
        <w:rFonts w:ascii="Arial" w:hAnsi="Arial"/>
        <w:color w:val="DD690A" w:themeColor="accent6" w:themeShade="95" w:themeTint="98"/>
        <w:sz w:val="22"/>
      </w:rPr>
    </w:tblStylePr>
    <w:tblStylePr w:type="band2Vert"/>
    <w:tblStylePr w:type="firstCol">
      <w:pPr>
        <w:jc w:val="right"/>
      </w:pPr>
      <w:rPr>
        <w:rFonts w:ascii="Arial" w:hAnsi="Arial"/>
        <w:i/>
        <w:color w:val="DD690A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D690A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D690A" w:themeColor="accent6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D690A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nwCell"/>
    <w:tblStylePr w:type="neCell"/>
    <w:tblStylePr w:type="swCell"/>
    <w:tblStylePr w:type="seCell"/>
    <w:tblStylePr w:type="wholeTable">
      <w:rPr>
        <w:rFonts w:ascii="Arial" w:hAnsi="Arial"/>
        <w:color w:val="DD690A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8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8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8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8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BC2" w:themeColor="accent1" w:themeTint="EA" w:themeFill="accent1" w:themeFillTint="EA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3DDDC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A9796" w:themeColor="accent2" w:themeTint="97" w:themeFill="accent2" w:themeFillTint="97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BF1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B5A" w:themeColor="accent3" w:themeTint="FE" w:themeFill="accent3" w:themeFillTint="FE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7" w:themeColor="accent4" w:themeTint="9A" w:themeFill="accent4" w:themeFillTint="9A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AD9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  <w:tblStylePr w:type="nwCell"/>
    <w:tblStylePr w:type="neCell"/>
    <w:tblStylePr w:type="swCell"/>
    <w:tblStylePr w:type="seCell"/>
    <w:tblStylePr w:type="wholeTable"/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band1Vert"/>
    <w:tblStylePr w:type="band2Horz"/>
    <w:tblStylePr w:type="band2Vert"/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  <w:tblStylePr w:type="nwCell"/>
    <w:tblStylePr w:type="neCell"/>
    <w:tblStylePr w:type="swCell"/>
    <w:tblStylePr w:type="seCell"/>
    <w:tblStylePr w:type="wholeTable"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60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60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60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60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60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60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60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60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customStyle="1" w:styleId="StGen3">
    <w:name w:val="StGen3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table" w:customStyle="1" w:styleId="StGen4">
    <w:name w:val="StGen4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wCell"/>
    <w:tblStylePr w:type="neCell"/>
    <w:tblStylePr w:type="swCell"/>
    <w:tblStylePr w:type="seCell"/>
    <w:tblStylePr w:type="wholeTable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BalloonText">
    <w:name w:val="Balloon Text"/>
    <w:basedOn w:val="Normal"/>
    <w:link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mailto:tim.kurchenok@kliffort.com" TargetMode="External" /><Relationship Id="rId2" Type="http://schemas.openxmlformats.org/officeDocument/2006/relationships/image" Target="media/image1.png" /><Relationship Id="rId3" Type="http://schemas.openxmlformats.org/officeDocument/2006/relationships/hyperlink" Target="mailto:tim.kurchenok@kliffort.com" TargetMode="Externa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